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34" w:rsidRDefault="00D461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Легендарная Русь (отель 4*) 2 дня/1 ночь</w:t>
      </w:r>
    </w:p>
    <w:p w:rsidR="00C80334" w:rsidRDefault="00D461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Москва (ВДНХ) – Переславль-Залесский – Ростов Великий – Ростовский Кремль – Музей ростовской финифти – Ярославль – Спасо-Преображенский монастырь – Успенский кафедральный собор – Кострома – Торговые ряды – Ипатьевский монастырь — музей Ювелирного искусства – Москва (ВДНХ)*</w:t>
      </w:r>
    </w:p>
    <w:p w:rsidR="00C80334" w:rsidRDefault="00D4613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индивидуальных туристов</w:t>
      </w:r>
    </w:p>
    <w:p w:rsidR="00C80334" w:rsidRDefault="00D4613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Данная программа рекомендуется для детей от 6 лет</w:t>
      </w:r>
    </w:p>
    <w:p w:rsidR="00C80334" w:rsidRDefault="00C8033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C80334">
        <w:trPr>
          <w:gridAfter w:val="1"/>
          <w:wAfter w:w="10" w:type="dxa"/>
          <w:trHeight w:val="67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0334" w:rsidRDefault="00D4613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тура: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Ростовский кремль + Музей ювелирного искусства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08:00 - Сбор группы в г. Москве, ст. метро «ВДНХ», стоянка справа от гостиницы «Космос»: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08:15 -  Отправление в г. Переславль-Залесский.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Внимание!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 заезды в периоды 01-04.05.2025, 08-11.05.2025, 12-15.06.2025 время выезда -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07:30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(сбор группы -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07:15)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Путевая обзорная экскурсия по Переславлю-Залесскому.</w:t>
            </w:r>
          </w:p>
          <w:p w:rsidR="00D37E0D" w:rsidRPr="00D37E0D" w:rsidRDefault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354F">
              <w:rPr>
                <w:rFonts w:ascii="Arial" w:hAnsi="Arial" w:cs="Arial"/>
                <w:b/>
                <w:sz w:val="18"/>
                <w:szCs w:val="18"/>
              </w:rPr>
              <w:t>Сердце Переславля -</w:t>
            </w:r>
            <w:r w:rsidRPr="0033354F">
              <w:rPr>
                <w:rFonts w:ascii="Arial" w:hAnsi="Arial" w:cs="Arial"/>
                <w:sz w:val="18"/>
                <w:szCs w:val="18"/>
              </w:rPr>
              <w:t xml:space="preserve"> Красная площадь, она на несколько столетий старше знаменитой Московской тезки. Живое подтверждение местной старины - Спасо-Преображенский собор, заложенный Юрием Долгоруким в 1152 году. Это старейшее сооружение Северо-Восточной Руси, дошедшее до наших дней.</w:t>
            </w:r>
          </w:p>
          <w:p w:rsidR="00C80334" w:rsidRDefault="00D3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Переезд </w:t>
            </w:r>
            <w:r w:rsidR="00D46133">
              <w:rPr>
                <w:rFonts w:ascii="Arial" w:hAnsi="Arial" w:cs="Arial"/>
                <w:b/>
                <w:sz w:val="18"/>
                <w:szCs w:val="18"/>
              </w:rPr>
              <w:t xml:space="preserve"> в г. Ростов Великий.</w:t>
            </w:r>
          </w:p>
          <w:p w:rsidR="00C80334" w:rsidRPr="00D37E0D" w:rsidRDefault="00C80334">
            <w:pPr>
              <w:spacing w:after="0" w:line="240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:rsidR="00D37E0D" w:rsidRPr="00696065" w:rsidRDefault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6065">
              <w:rPr>
                <w:rFonts w:ascii="Arial" w:hAnsi="Arial" w:cs="Arial"/>
                <w:sz w:val="18"/>
                <w:szCs w:val="18"/>
              </w:rPr>
              <w:t>Ростов не спроста назван Великим, ведь его упоминания датируются в летописях 862 годом.</w:t>
            </w:r>
          </w:p>
          <w:p w:rsidR="00D37E0D" w:rsidRPr="00696065" w:rsidRDefault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37E0D" w:rsidRPr="00696065" w:rsidRDefault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6065">
              <w:rPr>
                <w:rFonts w:ascii="Arial" w:hAnsi="Arial" w:cs="Arial"/>
                <w:b/>
                <w:sz w:val="18"/>
                <w:szCs w:val="18"/>
              </w:rPr>
              <w:t>Обзорная экскурсия по г. Ростову Великому</w:t>
            </w:r>
            <w:r w:rsidRPr="00696065">
              <w:rPr>
                <w:rFonts w:ascii="Arial" w:hAnsi="Arial" w:cs="Arial"/>
                <w:sz w:val="18"/>
                <w:szCs w:val="18"/>
              </w:rPr>
              <w:t xml:space="preserve"> на проезде (внешний осмотр достопримечательностей): крепостные валы и озеро Неро, Спасо-Яковлевский монастырь, имназия Кекина и гостиный двор, уникальный Конюшенный двор, купеческие усадьбы XVIII–XIX веков.</w:t>
            </w:r>
          </w:p>
          <w:p w:rsidR="00D37E0D" w:rsidRPr="00696065" w:rsidRDefault="00D3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7E0D" w:rsidRPr="00696065" w:rsidRDefault="00D37E0D" w:rsidP="00D3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6065">
              <w:rPr>
                <w:rFonts w:ascii="Arial" w:hAnsi="Arial" w:cs="Arial"/>
                <w:b/>
                <w:sz w:val="18"/>
                <w:szCs w:val="18"/>
              </w:rPr>
              <w:t>Свободное время. Или за доплату ЭКСКУРСИОННЫЙ ПАКЕТ «КЛАССИЧЕСКИЙ»:</w:t>
            </w:r>
          </w:p>
          <w:p w:rsidR="00D37E0D" w:rsidRPr="00696065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606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696065">
              <w:rPr>
                <w:rFonts w:ascii="Arial" w:hAnsi="Arial" w:cs="Arial"/>
                <w:b/>
                <w:sz w:val="18"/>
                <w:szCs w:val="18"/>
              </w:rPr>
              <w:t>Экскурсия по территории Ростовского кремля</w:t>
            </w:r>
            <w:r w:rsidRPr="00696065">
              <w:rPr>
                <w:rFonts w:ascii="Arial" w:hAnsi="Arial" w:cs="Arial"/>
                <w:sz w:val="18"/>
                <w:szCs w:val="18"/>
              </w:rPr>
              <w:t xml:space="preserve"> (осмотр архитектурного ансамбля). Осмотр достопримечательностей: Успенский собор (XVI в.) с уникальной звонницей, на которой полностью сохранился набор из 15 колоколов, Архиерейский двор, Соборная площадь.</w:t>
            </w:r>
          </w:p>
          <w:p w:rsidR="00D37E0D" w:rsidRPr="00696065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37E0D" w:rsidRPr="00D37E0D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6065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696065">
              <w:rPr>
                <w:rFonts w:ascii="Arial" w:hAnsi="Arial" w:cs="Arial"/>
                <w:b/>
                <w:sz w:val="18"/>
                <w:szCs w:val="18"/>
              </w:rPr>
              <w:t>Экспозиция «Малые переходы по стенам Ростовского Кремля</w:t>
            </w:r>
            <w:r w:rsidRPr="00696065">
              <w:rPr>
                <w:rFonts w:ascii="Arial" w:hAnsi="Arial" w:cs="Arial"/>
                <w:sz w:val="18"/>
                <w:szCs w:val="18"/>
              </w:rPr>
              <w:t>» (с мая по сентябрь), ЛИБО «Музей ростовской финифти» (с октября по апрель).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Отъезд в г. Ярославль.</w:t>
            </w:r>
          </w:p>
          <w:p w:rsidR="00D37E0D" w:rsidRDefault="00D37E0D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sz w:val="18"/>
                <w:szCs w:val="18"/>
              </w:rPr>
              <w:t>Обзорная экскурсия по городу Ярославлю, который заслуженно считается «Столицей Золотого Кольца»:</w:t>
            </w: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23DE">
              <w:rPr>
                <w:rFonts w:ascii="Arial" w:hAnsi="Arial" w:cs="Arial"/>
                <w:sz w:val="18"/>
                <w:szCs w:val="18"/>
              </w:rPr>
              <w:t>● Увидите стрелку рек Волги и Которосли – место, откуда начинался</w:t>
            </w: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23DE">
              <w:rPr>
                <w:rFonts w:ascii="Arial" w:hAnsi="Arial" w:cs="Arial"/>
                <w:sz w:val="18"/>
                <w:szCs w:val="18"/>
              </w:rPr>
              <w:t>Ярославль.</w:t>
            </w: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23DE">
              <w:rPr>
                <w:rFonts w:ascii="Arial" w:hAnsi="Arial" w:cs="Arial"/>
                <w:sz w:val="18"/>
                <w:szCs w:val="18"/>
              </w:rPr>
              <w:t>● Пройдетесь по живописной Волжской набережной, осмотрите воссозданный к 1000-летию города Успенский кафедральный собор.</w:t>
            </w: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23DE">
              <w:rPr>
                <w:rFonts w:ascii="Arial" w:hAnsi="Arial" w:cs="Arial"/>
                <w:sz w:val="18"/>
                <w:szCs w:val="18"/>
              </w:rPr>
              <w:t>● Восхититесь уникальным архитектурным ансамблем центральной части Ярославля (находится под охраной ЮНЕСКО) и его жемчужинами – церквями XVII века (одна из которых – Церковь Ильи Пророка).</w:t>
            </w: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23DE">
              <w:rPr>
                <w:rFonts w:ascii="Arial" w:hAnsi="Arial" w:cs="Arial"/>
                <w:sz w:val="18"/>
                <w:szCs w:val="18"/>
              </w:rPr>
              <w:t>● Послушаете истории о первом Русском театре, пройдетесь по улицам, где гуляли герои известных советских и российских кинофильмов.</w:t>
            </w: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sz w:val="18"/>
                <w:szCs w:val="18"/>
              </w:rPr>
              <w:t>Свободное время, ИЛИ за доплату ЭКСКУРСИОННЫЙ ПАКЕТ «КЛАССИЧЕСКИЙ»:</w:t>
            </w: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23DE">
              <w:rPr>
                <w:rFonts w:ascii="Arial" w:hAnsi="Arial" w:cs="Arial"/>
                <w:sz w:val="18"/>
                <w:szCs w:val="18"/>
              </w:rPr>
              <w:t xml:space="preserve">● Экскурсия по территории Спасо-Преображенского монастыря (осмотр архитектурного ансамбля), основной городской достопримечательности с неприступными каменными стенами, которую в народе иногда называют «Ярославским кремлем». </w:t>
            </w:r>
          </w:p>
          <w:p w:rsidR="00D37E0D" w:rsidRPr="00D37E0D" w:rsidRDefault="00D37E0D" w:rsidP="00D37E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23DE">
              <w:rPr>
                <w:rFonts w:ascii="Arial" w:hAnsi="Arial" w:cs="Arial"/>
                <w:sz w:val="18"/>
                <w:szCs w:val="18"/>
              </w:rPr>
              <w:t>Именно здесь в XVIII столетия был обнаружен список шедевра древнерусской литературы «Слово о полку Игореве».</w:t>
            </w:r>
          </w:p>
          <w:p w:rsidR="00D37E0D" w:rsidRDefault="00D37E0D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Размещение в отеле «Cosmos Yaroslavl Hotel 4*» г. Ярославль. Номера категории «стандарт». (Резервные отели: «Royal Hotel Yaroslavl 4*» г. Ярославль, «Волга 4*» г. Кострома).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0F97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Внимание!</w:t>
            </w:r>
            <w:r w:rsidRPr="00160F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60F97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заезд 22-23.02.2025</w:t>
            </w:r>
            <w:r w:rsidRPr="00160F97">
              <w:rPr>
                <w:rFonts w:ascii="Arial" w:hAnsi="Arial" w:cs="Arial"/>
                <w:b/>
                <w:sz w:val="18"/>
                <w:szCs w:val="18"/>
              </w:rPr>
              <w:t xml:space="preserve"> размещение в отеле «Волга 4*» г. Кострома. Номера первой категории (стандарт).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При себе обязательно иметь паспорт, так как без паспорта невозможно поселиться в гостиницу!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C80334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0334" w:rsidRDefault="00D461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07:00 - Завтрак в ресторане отеля.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Кострому.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Костроме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красивейшему городу на Волге, одной из жемчужин Золотого кольца.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Древний купеческий город, который сохранил до наших дней первозданный облик архитектурного ансамбля XVIII века, приоткроет завесу тайны своей неповторимой истории.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центре расположены: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Пожарная каланча XIX века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выдающимся памятник классицизма,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● здание Гауптвахты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великолепно сохранившийся ансамбль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Торговых рядов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которые исправно несут свою службу до сих пор.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Кострома -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колыбель династии Романовых. Именно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Ипатьевском монастыре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Костромы от опалы Годунова скрывался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Михаил Федорович Романов. Ипатьевский монастырь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главный символ Костромы.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7E0D">
              <w:rPr>
                <w:rFonts w:ascii="Arial" w:hAnsi="Arial" w:cs="Arial"/>
                <w:b/>
                <w:bCs/>
                <w:sz w:val="18"/>
                <w:szCs w:val="18"/>
              </w:rPr>
              <w:t>Осмотр территории воссозданного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Костромского Кремля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где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Богоявленском соборе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хранится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чудотворная икона Федоровской божьей матери. 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Она была написана около 1239 года и прославлена великими чудесами и исцелениями. Это самое древнее произведение иконописи Костромы. Икона издавна почитается как защитница города и охранительница рода Романовых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 Или за доплату ЭКСКУРСИОННЫЙ ПАКЕТ «КЛАССИЧЕСКИЙ»:</w:t>
            </w:r>
          </w:p>
          <w:p w:rsidR="00D37E0D" w:rsidRPr="009223DE" w:rsidRDefault="00D37E0D" w:rsidP="00D37E0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знаменитого Ипатьевского</w:t>
            </w:r>
            <w:r w:rsidRPr="009223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монастыря,</w:t>
            </w:r>
            <w:r w:rsidRPr="009223DE">
              <w:rPr>
                <w:rFonts w:ascii="Arial" w:hAnsi="Arial" w:cs="Arial"/>
                <w:bCs/>
                <w:sz w:val="18"/>
                <w:szCs w:val="18"/>
              </w:rPr>
              <w:t xml:space="preserve"> главного символа г. Костромы (осмотр архитектурного ансамбля). В стенах этого монастыря Михаил Романов был благословлён на царство. С тех пор обитель по праву считалась «Колыбелью династии Романовых». Члены императорской фамилии почитали монастырь, как свою семейную святыню. В разное время обитель посещали Екатерина II, Николай I, Александр II и Николай II.</w:t>
            </w:r>
          </w:p>
          <w:p w:rsidR="00D37E0D" w:rsidRPr="00D37E0D" w:rsidRDefault="00D37E0D" w:rsidP="00D37E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Волге (30 мин., с мая по сентябрь), ЛИБО Посещение Музея «Ювелирного искусства» (с октября по апрель).</w:t>
            </w:r>
          </w:p>
          <w:p w:rsidR="00C80334" w:rsidRPr="00D37E0D" w:rsidRDefault="00C8033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Москву.</w:t>
            </w:r>
          </w:p>
          <w:p w:rsidR="00C80334" w:rsidRDefault="00C8033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21:00 -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Ориентировочное время прибытия в г. Москву для основной группы (ст. метро «ВДНХ»).</w:t>
            </w:r>
          </w:p>
        </w:tc>
      </w:tr>
      <w:tr w:rsidR="00C80334">
        <w:trPr>
          <w:trHeight w:val="170"/>
        </w:trPr>
        <w:tc>
          <w:tcPr>
            <w:tcW w:w="10236" w:type="dxa"/>
            <w:gridSpan w:val="3"/>
            <w:vAlign w:val="center"/>
          </w:tcPr>
          <w:p w:rsidR="00C80334" w:rsidRDefault="00D46133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 стоимость входит: р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 в гостинице по программе тура, питание по туристическому меню согласно выбранному варианту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экскурсионное обслуживание по программе (включая билеты в музеи и услуги гида-сопровождающего), транспортное обслуживание.</w:t>
            </w:r>
          </w:p>
        </w:tc>
      </w:tr>
      <w:tr w:rsidR="00C80334">
        <w:trPr>
          <w:trHeight w:val="70"/>
        </w:trPr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Документы: паспорт, ваучер, страховой медицинский полис, для детей – свидетельство о рождении.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C80334">
        <w:tc>
          <w:tcPr>
            <w:tcW w:w="10236" w:type="dxa"/>
            <w:gridSpan w:val="3"/>
            <w:vAlign w:val="center"/>
          </w:tcPr>
          <w:p w:rsidR="00C80334" w:rsidRDefault="00D46133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Возможна замена некоторых экскурсий на равноценные. А также возможна замена гостиницы на такую же категорию или выше.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 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C80334">
        <w:trPr>
          <w:trHeight w:val="184"/>
        </w:trPr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80334"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80334" w:rsidRDefault="00D46133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Аннуляции более чем 31 день - без удержаний;</w:t>
            </w:r>
          </w:p>
          <w:p w:rsidR="00C80334" w:rsidRDefault="00D46133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При аннуляции менее чем за 31 день удерживаются фпз оператора.</w:t>
            </w:r>
          </w:p>
          <w:p w:rsidR="00C80334" w:rsidRDefault="00D4613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 подробными условиями аннуляции можете ознакомиться в приложенном к туру файле «Для турагента».</w:t>
            </w:r>
          </w:p>
          <w:p w:rsidR="00C80334" w:rsidRDefault="00C8033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80334" w:rsidRDefault="00D4613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80334" w:rsidRDefault="00D4613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80334" w:rsidRDefault="00D4613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Доплата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 или 30 рабочих дней до начала тура).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D37E0D" w:rsidRPr="009223DE" w:rsidRDefault="00D37E0D" w:rsidP="00D37E0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услуги:</w:t>
            </w:r>
          </w:p>
          <w:p w:rsidR="00D37E0D" w:rsidRPr="009223DE" w:rsidRDefault="00D37E0D" w:rsidP="00D37E0D">
            <w:pPr>
              <w:pStyle w:val="afa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Экскурсионный пакет "Классический" – 2 000 руб. (на человека;</w:t>
            </w:r>
          </w:p>
          <w:p w:rsidR="00D37E0D" w:rsidRPr="009223DE" w:rsidRDefault="00D37E0D" w:rsidP="00D37E0D">
            <w:pPr>
              <w:pStyle w:val="afa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ЭКСКУРСИОННЫЙ ПАКЕТ «КЛАССИЧЕСКИЙ»:</w:t>
            </w:r>
          </w:p>
          <w:p w:rsidR="00D37E0D" w:rsidRPr="009223DE" w:rsidRDefault="00D37E0D" w:rsidP="00D37E0D">
            <w:pPr>
              <w:pStyle w:val="afa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территории Ростовского кремля г. Ростов Великий</w:t>
            </w:r>
          </w:p>
          <w:p w:rsidR="00D37E0D" w:rsidRPr="009223DE" w:rsidRDefault="00D37E0D" w:rsidP="00D37E0D">
            <w:pPr>
              <w:pStyle w:val="afa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посещение экспозиции «Малые переходы по стенам Ростовского Кремля» (с мая по сентябрь) ЛИБО «Музей ростовской финифти» (с октября по апрель) г. Ростов Великий,</w:t>
            </w:r>
          </w:p>
          <w:p w:rsidR="00D37E0D" w:rsidRPr="009223DE" w:rsidRDefault="00D37E0D" w:rsidP="00D37E0D">
            <w:pPr>
              <w:pStyle w:val="afa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территорий Спасо-Преображенского монастыря г. Ярославль, Ипатьевского монастыря г. Кострома,</w:t>
            </w:r>
          </w:p>
          <w:p w:rsidR="00D37E0D" w:rsidRPr="00D37E0D" w:rsidRDefault="00D37E0D" w:rsidP="00D37E0D">
            <w:pPr>
              <w:pStyle w:val="afa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3DE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Волге в г. Кострома (с мая по сентябрь) ЛИБО Посещение Музея «Ювелирного искусства» г. Кострома (с октября по апрель).</w:t>
            </w:r>
          </w:p>
          <w:p w:rsidR="00C80334" w:rsidRPr="00D37E0D" w:rsidRDefault="00D46133" w:rsidP="00D37E0D">
            <w:pPr>
              <w:pStyle w:val="afa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7E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Скидка на дополнительное место – 200 руб. (3 человека в номере); </w:t>
            </w:r>
          </w:p>
          <w:p w:rsidR="00C80334" w:rsidRDefault="00D46133" w:rsidP="00D37E0D">
            <w:pPr>
              <w:pStyle w:val="afa"/>
              <w:numPr>
                <w:ilvl w:val="0"/>
                <w:numId w:val="14"/>
              </w:numPr>
              <w:spacing w:after="0"/>
            </w:pPr>
            <w:r w:rsidRPr="00D37E0D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 980 ру</w:t>
            </w:r>
            <w:bookmarkStart w:id="0" w:name="_GoBack"/>
            <w:bookmarkEnd w:id="0"/>
            <w:r w:rsidRPr="00D37E0D">
              <w:rPr>
                <w:rFonts w:ascii="Arial" w:hAnsi="Arial" w:cs="Arial"/>
                <w:b/>
                <w:bCs/>
                <w:sz w:val="18"/>
                <w:szCs w:val="18"/>
              </w:rPr>
              <w:t>б/чел (нетто).</w:t>
            </w:r>
          </w:p>
          <w:p w:rsidR="00C80334" w:rsidRPr="00D37E0D" w:rsidRDefault="00D513A2" w:rsidP="00D37E0D">
            <w:pPr>
              <w:pStyle w:val="afa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D46133" w:rsidRPr="00D37E0D">
                <w:rPr>
                  <w:rStyle w:val="af9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D46133" w:rsidRPr="00D37E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D46133" w:rsidRPr="00D37E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C80334" w:rsidRDefault="00C8033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Компания не организует подселение в номер в целях Вашей безопасности и комфорта.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C80334" w:rsidRDefault="00D46133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C80334" w:rsidRDefault="00C80334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C80334" w:rsidRDefault="00D46133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ПРИКРЕПЛЕННЫХ ФАЙЛАХ К ТУРУ НИЖЕ!</w:t>
            </w:r>
          </w:p>
        </w:tc>
      </w:tr>
    </w:tbl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sectPr w:rsidR="00C80334">
      <w:pgSz w:w="11906" w:h="16838"/>
      <w:pgMar w:top="680" w:right="851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A2" w:rsidRDefault="00D513A2">
      <w:pPr>
        <w:spacing w:after="0" w:line="240" w:lineRule="auto"/>
      </w:pPr>
      <w:r>
        <w:separator/>
      </w:r>
    </w:p>
  </w:endnote>
  <w:endnote w:type="continuationSeparator" w:id="0">
    <w:p w:rsidR="00D513A2" w:rsidRDefault="00D5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A2" w:rsidRDefault="00D513A2">
      <w:pPr>
        <w:spacing w:after="0" w:line="240" w:lineRule="auto"/>
      </w:pPr>
      <w:r>
        <w:separator/>
      </w:r>
    </w:p>
  </w:footnote>
  <w:footnote w:type="continuationSeparator" w:id="0">
    <w:p w:rsidR="00D513A2" w:rsidRDefault="00D51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02"/>
    <w:multiLevelType w:val="hybridMultilevel"/>
    <w:tmpl w:val="1E26F954"/>
    <w:lvl w:ilvl="0" w:tplc="8EDE8254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51BAB4C8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10B2C59E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FC389836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F40641C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9B90775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3AA893D0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28325784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C1A43778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06A341A2"/>
    <w:multiLevelType w:val="multilevel"/>
    <w:tmpl w:val="3958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3E59"/>
    <w:multiLevelType w:val="hybridMultilevel"/>
    <w:tmpl w:val="4B460FD6"/>
    <w:lvl w:ilvl="0" w:tplc="C010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8D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C5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EF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A6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86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4B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4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60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73B3"/>
    <w:multiLevelType w:val="hybridMultilevel"/>
    <w:tmpl w:val="C0E0E4C6"/>
    <w:lvl w:ilvl="0" w:tplc="002A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6A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4D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29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E1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42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9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EE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0B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48E3"/>
    <w:multiLevelType w:val="hybridMultilevel"/>
    <w:tmpl w:val="F0BAA65E"/>
    <w:lvl w:ilvl="0" w:tplc="0CA6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0E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47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EA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8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08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25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8D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45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3A62"/>
    <w:multiLevelType w:val="hybridMultilevel"/>
    <w:tmpl w:val="E5908680"/>
    <w:lvl w:ilvl="0" w:tplc="49E0A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3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ED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28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7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24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D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28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61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304A"/>
    <w:multiLevelType w:val="hybridMultilevel"/>
    <w:tmpl w:val="7BF60164"/>
    <w:lvl w:ilvl="0" w:tplc="CCE0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29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8D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7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8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8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3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CC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04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B83"/>
    <w:multiLevelType w:val="hybridMultilevel"/>
    <w:tmpl w:val="AF8AB80C"/>
    <w:lvl w:ilvl="0" w:tplc="40EE5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41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2A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CF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64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AF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2F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84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0A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269"/>
    <w:multiLevelType w:val="hybridMultilevel"/>
    <w:tmpl w:val="97CC13B6"/>
    <w:lvl w:ilvl="0" w:tplc="7A78D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2C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E8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3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4B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6B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E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5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07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65E4A"/>
    <w:multiLevelType w:val="multilevel"/>
    <w:tmpl w:val="2AB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A412E"/>
    <w:multiLevelType w:val="hybridMultilevel"/>
    <w:tmpl w:val="9FF4FC9C"/>
    <w:lvl w:ilvl="0" w:tplc="962A6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6E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AD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1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27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21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2B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67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4E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4FA7"/>
    <w:multiLevelType w:val="hybridMultilevel"/>
    <w:tmpl w:val="DE5A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04F9A"/>
    <w:multiLevelType w:val="hybridMultilevel"/>
    <w:tmpl w:val="06C02FE2"/>
    <w:lvl w:ilvl="0" w:tplc="41D6184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5B425928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C56E98CA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E696B106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A6E87DFC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9CA4B924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0C2C5D62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FE8CC80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4706044A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3" w15:restartNumberingAfterBreak="0">
    <w:nsid w:val="77F009BD"/>
    <w:multiLevelType w:val="hybridMultilevel"/>
    <w:tmpl w:val="6C4068CA"/>
    <w:lvl w:ilvl="0" w:tplc="65B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2381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84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4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4E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8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EC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A9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68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353FA"/>
    <w:rsid w:val="001512A5"/>
    <w:rsid w:val="001603F2"/>
    <w:rsid w:val="00160BC7"/>
    <w:rsid w:val="00160F97"/>
    <w:rsid w:val="00164394"/>
    <w:rsid w:val="001865F1"/>
    <w:rsid w:val="001E5709"/>
    <w:rsid w:val="00225CB1"/>
    <w:rsid w:val="00235C98"/>
    <w:rsid w:val="00257266"/>
    <w:rsid w:val="002B6EBA"/>
    <w:rsid w:val="002C31F4"/>
    <w:rsid w:val="002D29B5"/>
    <w:rsid w:val="002E14C9"/>
    <w:rsid w:val="002F0C2E"/>
    <w:rsid w:val="00324AA3"/>
    <w:rsid w:val="0033354F"/>
    <w:rsid w:val="0035718B"/>
    <w:rsid w:val="00393764"/>
    <w:rsid w:val="003B10D5"/>
    <w:rsid w:val="003B7557"/>
    <w:rsid w:val="003D1597"/>
    <w:rsid w:val="00400A33"/>
    <w:rsid w:val="00400B18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37EB9"/>
    <w:rsid w:val="005B67EF"/>
    <w:rsid w:val="005E05E8"/>
    <w:rsid w:val="00627736"/>
    <w:rsid w:val="00651433"/>
    <w:rsid w:val="006633F0"/>
    <w:rsid w:val="00692A80"/>
    <w:rsid w:val="00696065"/>
    <w:rsid w:val="00696E65"/>
    <w:rsid w:val="006A21EF"/>
    <w:rsid w:val="006D35FF"/>
    <w:rsid w:val="006D575C"/>
    <w:rsid w:val="006D645E"/>
    <w:rsid w:val="00715C6C"/>
    <w:rsid w:val="0072168C"/>
    <w:rsid w:val="007339B5"/>
    <w:rsid w:val="0073502F"/>
    <w:rsid w:val="007639BD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250B0"/>
    <w:rsid w:val="00850541"/>
    <w:rsid w:val="00866098"/>
    <w:rsid w:val="00884ACF"/>
    <w:rsid w:val="0088595F"/>
    <w:rsid w:val="008A2C36"/>
    <w:rsid w:val="008E0829"/>
    <w:rsid w:val="008E2CED"/>
    <w:rsid w:val="009223DE"/>
    <w:rsid w:val="00934CF3"/>
    <w:rsid w:val="009445E0"/>
    <w:rsid w:val="009474F0"/>
    <w:rsid w:val="00951B60"/>
    <w:rsid w:val="00990D40"/>
    <w:rsid w:val="00996068"/>
    <w:rsid w:val="009B5FEB"/>
    <w:rsid w:val="009C16B9"/>
    <w:rsid w:val="009C3639"/>
    <w:rsid w:val="00A30122"/>
    <w:rsid w:val="00A77562"/>
    <w:rsid w:val="00A95584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BC33EB"/>
    <w:rsid w:val="00C00F96"/>
    <w:rsid w:val="00C554A9"/>
    <w:rsid w:val="00C60F5B"/>
    <w:rsid w:val="00C8018A"/>
    <w:rsid w:val="00C80334"/>
    <w:rsid w:val="00C8150D"/>
    <w:rsid w:val="00C872BA"/>
    <w:rsid w:val="00CB0A6C"/>
    <w:rsid w:val="00CF1572"/>
    <w:rsid w:val="00CF633B"/>
    <w:rsid w:val="00D117EA"/>
    <w:rsid w:val="00D37E0D"/>
    <w:rsid w:val="00D37EF2"/>
    <w:rsid w:val="00D46133"/>
    <w:rsid w:val="00D513A2"/>
    <w:rsid w:val="00D73578"/>
    <w:rsid w:val="00D9411B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EF672B"/>
    <w:rsid w:val="00F20F3D"/>
    <w:rsid w:val="00F275F4"/>
    <w:rsid w:val="00F340AF"/>
    <w:rsid w:val="00FA2E32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2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5</cp:revision>
  <dcterms:created xsi:type="dcterms:W3CDTF">2025-04-14T12:19:00Z</dcterms:created>
  <dcterms:modified xsi:type="dcterms:W3CDTF">2025-04-14T12:36:00Z</dcterms:modified>
</cp:coreProperties>
</file>